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rPr>
          <w:sz w:val="30"/>
          <w:szCs w:val="30"/>
        </w:rPr>
      </w:pPr>
      <w:r>
        <w:rPr>
          <w:sz w:val="30"/>
          <w:szCs w:val="30"/>
          <w:rtl w:val="0"/>
          <w:lang w:val="en-US"/>
        </w:rPr>
        <w:t xml:space="preserve">GCH  Board  Meeting  Minutes </w:t>
      </w:r>
    </w:p>
    <w:p>
      <w:pPr>
        <w:pStyle w:val="Subtitle"/>
        <w:rPr>
          <w:sz w:val="30"/>
          <w:szCs w:val="30"/>
        </w:rPr>
      </w:pPr>
      <w:r>
        <w:rPr>
          <w:sz w:val="30"/>
          <w:szCs w:val="30"/>
          <w:rtl w:val="0"/>
          <w:lang w:val="en-US"/>
        </w:rPr>
        <w:t xml:space="preserve">November 21, 2023   </w:t>
      </w:r>
    </w:p>
    <w:p>
      <w:pPr>
        <w:pStyle w:val="Subtitle"/>
        <w:rPr>
          <w:sz w:val="30"/>
          <w:szCs w:val="30"/>
        </w:rPr>
      </w:pPr>
      <w:r>
        <w:rPr>
          <w:sz w:val="30"/>
          <w:szCs w:val="30"/>
          <w:rtl w:val="0"/>
          <w:lang w:val="en-US"/>
        </w:rPr>
        <w:t>Meeting  held  via Zoom</w:t>
      </w:r>
    </w:p>
    <w:p>
      <w:pPr>
        <w:pStyle w:val="Body A"/>
      </w:pPr>
      <w:r>
        <w:rPr>
          <w:rtl w:val="0"/>
          <w:lang w:val="en-US"/>
        </w:rPr>
        <w:t xml:space="preserve">                                    </w:t>
      </w:r>
    </w:p>
    <w:p>
      <w:pPr>
        <w:pStyle w:val="Body A"/>
      </w:pPr>
      <w:r>
        <w:rPr>
          <w:rtl w:val="0"/>
          <w:lang w:val="en-US"/>
        </w:rPr>
        <w:t>Call to order at 10:00 AM by  Claire Burnett</w:t>
      </w:r>
    </w:p>
    <w:p>
      <w:pPr>
        <w:pStyle w:val="Body A"/>
      </w:pPr>
    </w:p>
    <w:p>
      <w:pPr>
        <w:pStyle w:val="Body A"/>
      </w:pPr>
      <w:r>
        <w:rPr>
          <w:rtl w:val="0"/>
          <w:lang w:val="en-US"/>
        </w:rPr>
        <w:t>Present: Claire Burnett, Susie Barney, Nannie Brown, Mary Ann Haar, Marcia Hall, Carrie Hammond, Nora  Howard, Marian Kellner, Mem Morrissey, Susan Prentice, Brie Quinby, Kristen Renehan, Sally Richter, Katy Sargent, Donna Stout, Margaret Szerejko</w:t>
      </w:r>
    </w:p>
    <w:p>
      <w:pPr>
        <w:pStyle w:val="Body A"/>
      </w:pPr>
    </w:p>
    <w:p>
      <w:pPr>
        <w:pStyle w:val="Body A"/>
      </w:pPr>
      <w:r>
        <w:rPr>
          <w:rtl w:val="0"/>
          <w:lang w:val="en-US"/>
        </w:rPr>
        <w:t xml:space="preserve">A motion  to  accept the  October 17, 2023  Board  Meeting minutes was made,  seconded and  approved </w:t>
      </w:r>
    </w:p>
    <w:p>
      <w:pPr>
        <w:pStyle w:val="Body A"/>
      </w:pPr>
    </w:p>
    <w:p>
      <w:pPr>
        <w:pStyle w:val="Body A"/>
      </w:pPr>
      <w:r>
        <w:rPr>
          <w:b w:val="1"/>
          <w:bCs w:val="1"/>
          <w:rtl w:val="0"/>
          <w:lang w:val="en-US"/>
        </w:rPr>
        <w:t>President</w:t>
      </w:r>
      <w:r>
        <w:rPr>
          <w:b w:val="1"/>
          <w:bCs w:val="1"/>
          <w:rtl w:val="0"/>
          <w:lang w:val="en-US"/>
        </w:rPr>
        <w:t>’</w:t>
      </w:r>
      <w:r>
        <w:rPr>
          <w:b w:val="1"/>
          <w:bCs w:val="1"/>
          <w:rtl w:val="0"/>
          <w:lang w:val="en-US"/>
        </w:rPr>
        <w:t xml:space="preserve">s Remarks </w:t>
      </w:r>
      <w:r>
        <w:rPr>
          <w:rtl w:val="0"/>
          <w:lang w:val="en-US"/>
        </w:rPr>
        <w:t xml:space="preserve"> -  Claire  Burnett</w:t>
      </w:r>
    </w:p>
    <w:p>
      <w:pPr>
        <w:pStyle w:val="Body A"/>
        <w:numPr>
          <w:ilvl w:val="0"/>
          <w:numId w:val="2"/>
        </w:numPr>
        <w:rPr>
          <w:lang w:val="en-US"/>
        </w:rPr>
      </w:pPr>
      <w:r>
        <w:rPr>
          <w:rtl w:val="0"/>
          <w:lang w:val="en-US"/>
        </w:rPr>
        <w:t>Congratulations to the Ways &amp; Means Committee for an outstanding job on this year</w:t>
      </w:r>
      <w:r>
        <w:rPr>
          <w:rFonts w:ascii="Arial Unicode MS" w:hAnsi="Arial Unicode MS" w:hint="default"/>
          <w:rtl w:val="0"/>
          <w:lang w:val="en-US"/>
        </w:rPr>
        <w:t>’</w:t>
      </w:r>
      <w:r>
        <w:rPr>
          <w:rtl w:val="0"/>
          <w:lang w:val="en-US"/>
        </w:rPr>
        <w:t>s Dinner and Auction. Mem Morrissey will give a brief report on the results. She and her co-chair Katy Sargent, Kathy Kraczkowsky and team, as well as Mary Ann Haar and her flower arrangements assembly team outdid themselves this year!</w:t>
      </w:r>
    </w:p>
    <w:p>
      <w:pPr>
        <w:pStyle w:val="Body A"/>
        <w:numPr>
          <w:ilvl w:val="0"/>
          <w:numId w:val="2"/>
        </w:numPr>
        <w:rPr>
          <w:lang w:val="en-US"/>
        </w:rPr>
      </w:pPr>
      <w:r>
        <w:rPr>
          <w:rtl w:val="0"/>
          <w:lang w:val="en-US"/>
        </w:rPr>
        <w:t>Don</w:t>
      </w:r>
      <w:r>
        <w:rPr>
          <w:rFonts w:ascii="Arial Unicode MS" w:hAnsi="Arial Unicode MS" w:hint="default"/>
          <w:rtl w:val="0"/>
          <w:lang w:val="en-US"/>
        </w:rPr>
        <w:t>’</w:t>
      </w:r>
      <w:r>
        <w:rPr>
          <w:rtl w:val="0"/>
          <w:lang w:val="en-US"/>
        </w:rPr>
        <w:t>t forget to send in your checks to Claire Burnett for the Greens Workshop. Also, RSVP</w:t>
      </w:r>
      <w:r>
        <w:rPr>
          <w:rFonts w:ascii="Arial Unicode MS" w:hAnsi="Arial Unicode MS" w:hint="default"/>
          <w:rtl w:val="0"/>
          <w:lang w:val="en-US"/>
        </w:rPr>
        <w:t>’</w:t>
      </w:r>
      <w:r>
        <w:rPr>
          <w:rtl w:val="0"/>
          <w:lang w:val="en-US"/>
        </w:rPr>
        <w:t>s and checks are due for the January Joint meeting by Wednesday, December 27</w:t>
      </w:r>
      <w:r>
        <w:rPr>
          <w:vertAlign w:val="superscript"/>
          <w:rtl w:val="0"/>
          <w:lang w:val="en-US"/>
        </w:rPr>
        <w:t>th</w:t>
      </w:r>
      <w:r>
        <w:rPr>
          <w:rtl w:val="0"/>
          <w:lang w:val="en-US"/>
        </w:rPr>
        <w:t xml:space="preserve">.  The invitation will also be included in the December Trumpet Vine. </w:t>
      </w:r>
    </w:p>
    <w:p>
      <w:pPr>
        <w:pStyle w:val="Body A"/>
        <w:numPr>
          <w:ilvl w:val="0"/>
          <w:numId w:val="2"/>
        </w:numPr>
        <w:rPr>
          <w:lang w:val="en-US"/>
        </w:rPr>
      </w:pPr>
      <w:r>
        <w:rPr>
          <w:rtl w:val="0"/>
          <w:lang w:val="en-US"/>
        </w:rPr>
        <w:t xml:space="preserve">Kristen Renehan has kindly agreed to be the club point person for volunteers for the 2024 Annual Meeting in Hartford. Information will be coming in January. </w:t>
      </w:r>
    </w:p>
    <w:p>
      <w:pPr>
        <w:pStyle w:val="Body A"/>
        <w:numPr>
          <w:ilvl w:val="0"/>
          <w:numId w:val="2"/>
        </w:numPr>
        <w:rPr>
          <w:lang w:val="en-US"/>
        </w:rPr>
      </w:pPr>
      <w:r>
        <w:rPr>
          <w:rtl w:val="0"/>
          <w:lang w:val="en-US"/>
        </w:rPr>
        <w:t>The GCA 2022-2023 annual report is available on-line and details some of the amazing accomplishments of GCA this past year including the Native Plant Month, the creation of Common Ground and Restoration grants and 40 years of NAL.</w:t>
      </w:r>
    </w:p>
    <w:p>
      <w:pPr>
        <w:pStyle w:val="Body A"/>
        <w:numPr>
          <w:ilvl w:val="0"/>
          <w:numId w:val="2"/>
        </w:numPr>
        <w:rPr>
          <w:lang w:val="en-US"/>
        </w:rPr>
      </w:pPr>
      <w:r>
        <w:rPr>
          <w:rtl w:val="0"/>
          <w:lang w:val="en-US"/>
        </w:rPr>
        <w:t>No Mow May is featured under Zone II lates News on the Zone II page of the GCA website.</w:t>
      </w:r>
    </w:p>
    <w:p>
      <w:pPr>
        <w:pStyle w:val="Body A"/>
        <w:numPr>
          <w:ilvl w:val="0"/>
          <w:numId w:val="2"/>
        </w:numPr>
        <w:rPr>
          <w:lang w:val="en-US"/>
        </w:rPr>
      </w:pPr>
      <w:r>
        <w:rPr>
          <w:rtl w:val="0"/>
          <w:lang w:val="en-US"/>
        </w:rPr>
        <w:t>NAL conference registration is now  open  and we can  send at least one, and up to  two delegates. A total of $1,000 per  delegate is available to  cover expenses. Please let Claire know  if you are interested in  attending.</w:t>
      </w:r>
    </w:p>
    <w:p>
      <w:pPr>
        <w:pStyle w:val="Body A"/>
        <w:numPr>
          <w:ilvl w:val="0"/>
          <w:numId w:val="2"/>
        </w:numPr>
        <w:rPr>
          <w:lang w:val="en-US"/>
        </w:rPr>
      </w:pPr>
      <w:r>
        <w:rPr>
          <w:b w:val="1"/>
          <w:bCs w:val="1"/>
          <w:rtl w:val="0"/>
          <w:lang w:val="en-US"/>
        </w:rPr>
        <w:t>I wish you and your families a most Happy Thanksgiving!</w:t>
      </w:r>
    </w:p>
    <w:p>
      <w:pPr>
        <w:pStyle w:val="Body A"/>
        <w:rPr>
          <w:b w:val="1"/>
          <w:bCs w:val="1"/>
        </w:rPr>
      </w:pPr>
    </w:p>
    <w:p>
      <w:pPr>
        <w:pStyle w:val="Body A"/>
      </w:pPr>
    </w:p>
    <w:p>
      <w:pPr>
        <w:pStyle w:val="Default"/>
        <w:spacing w:before="0" w:after="160" w:line="259" w:lineRule="auto"/>
        <w:ind w:left="720" w:firstLine="0"/>
        <w:rPr>
          <w:rFonts w:ascii="Calibri" w:cs="Calibri" w:hAnsi="Calibri" w:eastAsia="Calibri"/>
          <w:sz w:val="22"/>
          <w:szCs w:val="22"/>
          <w:u w:color="000000"/>
          <w:lang w:val="en-US"/>
        </w:rPr>
      </w:pPr>
    </w:p>
    <w:p>
      <w:pPr>
        <w:pStyle w:val="Body A"/>
      </w:pPr>
    </w:p>
    <w:p>
      <w:pPr>
        <w:pStyle w:val="Body A"/>
      </w:pPr>
    </w:p>
    <w:p>
      <w:pPr>
        <w:pStyle w:val="Body A"/>
      </w:pPr>
    </w:p>
    <w:p>
      <w:pPr>
        <w:pStyle w:val="Body A"/>
      </w:pPr>
    </w:p>
    <w:p>
      <w:pPr>
        <w:pStyle w:val="Body A"/>
      </w:pPr>
      <w:r>
        <w:rPr>
          <w:b w:val="1"/>
          <w:bCs w:val="1"/>
          <w:rtl w:val="0"/>
          <w:lang w:val="en-US"/>
        </w:rPr>
        <w:t>Treasurer</w:t>
      </w:r>
      <w:r>
        <w:rPr>
          <w:b w:val="1"/>
          <w:bCs w:val="1"/>
          <w:rtl w:val="0"/>
          <w:lang w:val="en-US"/>
        </w:rPr>
        <w:t>’</w:t>
      </w:r>
      <w:r>
        <w:rPr>
          <w:b w:val="1"/>
          <w:bCs w:val="1"/>
          <w:rtl w:val="0"/>
          <w:lang w:val="en-US"/>
        </w:rPr>
        <w:t>s  Report</w:t>
      </w:r>
      <w:r>
        <w:rPr>
          <w:rtl w:val="0"/>
          <w:lang w:val="en-US"/>
        </w:rPr>
        <w:t xml:space="preserve"> - Claire Burnett  for  Briann Greenfield. </w:t>
      </w:r>
    </w:p>
    <w:p>
      <w:pPr>
        <w:pStyle w:val="Body A"/>
      </w:pPr>
    </w:p>
    <w:p>
      <w:pPr>
        <w:pStyle w:val="Body A"/>
      </w:pPr>
      <w:r>
        <w:rPr>
          <w:rtl w:val="0"/>
          <w:lang w:val="en-US"/>
        </w:rPr>
        <w:t>Numbers are  reported in  a new  format , now including the Certificates of Deposit. Total  for  each Fund, including the CDs is in boldface type.</w:t>
      </w:r>
    </w:p>
    <w:p>
      <w:pPr>
        <w:pStyle w:val="Body A"/>
      </w:pPr>
      <w:r>
        <w:rPr>
          <w:rtl w:val="0"/>
          <w:lang w:val="en-US"/>
        </w:rPr>
        <w:t>As of 11/21/2023:</w:t>
      </w:r>
    </w:p>
    <w:tbl>
      <w:tblPr>
        <w:tblW w:w="93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3499"/>
        <w:gridCol w:w="1772"/>
        <w:gridCol w:w="4089"/>
      </w:tblGrid>
      <w:tr>
        <w:tblPrEx>
          <w:shd w:val="clear" w:color="auto" w:fill="00a2ff"/>
        </w:tblPrEx>
        <w:trPr>
          <w:trHeight w:val="300" w:hRule="atLeast"/>
          <w:tblHeader/>
        </w:trPr>
        <w:tc>
          <w:tcPr>
            <w:tcW w:type="dxa" w:w="3499"/>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tc>
      </w:tr>
      <w:tr>
        <w:tblPrEx>
          <w:shd w:val="clear" w:color="auto" w:fill="cadfff"/>
        </w:tblPrEx>
        <w:trPr>
          <w:trHeight w:val="310" w:hRule="atLeast"/>
        </w:trPr>
        <w:tc>
          <w:tcPr>
            <w:tcW w:type="dxa" w:w="3499"/>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Carry Over</w:t>
            </w:r>
          </w:p>
        </w:tc>
        <w:tc>
          <w:tcPr>
            <w:tcW w:type="dxa" w:w="1772"/>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$6,274.83</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A"/>
            </w:pPr>
            <w:r>
              <w:rPr>
                <w:shd w:val="nil" w:color="auto" w:fill="auto"/>
                <w:rtl w:val="0"/>
                <w:lang w:val="en-US"/>
              </w:rPr>
              <w:t xml:space="preserve">  Carry Over Fund  6301</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$1,175.50</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shd w:val="nil" w:color="auto" w:fill="auto"/>
                <w:rtl w:val="0"/>
                <w:lang w:val="en-US"/>
              </w:rPr>
              <w:t xml:space="preserve">  13 mo Featured CD  8877</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$5,099.33</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Main</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$22,503.00</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A"/>
            </w:pPr>
            <w:r>
              <w:rPr>
                <w:shd w:val="nil" w:color="auto" w:fill="auto"/>
                <w:rtl w:val="0"/>
                <w:lang w:val="en-US"/>
              </w:rPr>
              <w:t xml:space="preserve">  Main Checking  Account</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$12,326.74</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shd w:val="nil" w:color="auto" w:fill="auto"/>
                <w:rtl w:val="0"/>
                <w:lang w:val="en-US"/>
              </w:rPr>
              <w:t xml:space="preserve">  7  mo Featured CD  8880</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$10,176.26</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Perennial</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$21,309.96</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A"/>
            </w:pPr>
            <w:r>
              <w:rPr>
                <w:shd w:val="nil" w:color="auto" w:fill="auto"/>
                <w:rtl w:val="0"/>
                <w:lang w:val="en-US"/>
              </w:rPr>
              <w:t xml:space="preserve">  Perennial Fund  7034</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$2,952.37</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shd w:val="nil" w:color="auto" w:fill="auto"/>
                <w:rtl w:val="0"/>
                <w:lang w:val="en-US"/>
              </w:rPr>
              <w:t xml:space="preserve">  13 mo Featured CD  8990</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$18,357.59</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Rainy Day Fund</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$4,618.92</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Community *</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$58,487.52</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A"/>
            </w:pPr>
            <w:r>
              <w:rPr>
                <w:shd w:val="nil" w:color="auto" w:fill="auto"/>
                <w:rtl w:val="0"/>
                <w:lang w:val="en-US"/>
              </w:rPr>
              <w:t xml:space="preserve">  Community  Fund  8539</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$48,288.86</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shd w:val="nil" w:color="auto" w:fill="auto"/>
                <w:rtl w:val="0"/>
                <w:lang w:val="en-US"/>
              </w:rPr>
              <w:t xml:space="preserve">  13 mo Featured CD  8864</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sz w:val="26"/>
                <w:szCs w:val="26"/>
                <w:shd w:val="nil" w:color="auto" w:fill="auto"/>
                <w:rtl w:val="0"/>
                <w:lang w:val="en-US"/>
                <w14:textOutline w14:w="12700" w14:cap="flat">
                  <w14:noFill/>
                  <w14:miter w14:lim="400000"/>
                </w14:textOutline>
              </w:rPr>
              <w:t>$10,198.66</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Education Fund  6342</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$10,397.64</w:t>
            </w: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300" w:hRule="atLeast"/>
        </w:trPr>
        <w:tc>
          <w:tcPr>
            <w:tcW w:type="dxa" w:w="34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A"/>
            </w:pPr>
            <w:r>
              <w:rPr>
                <w:b w:val="1"/>
                <w:bCs w:val="1"/>
                <w:shd w:val="nil" w:color="auto" w:fill="auto"/>
                <w:rtl w:val="0"/>
                <w:lang w:val="en-US"/>
              </w:rPr>
              <w:t>TOTAL</w:t>
            </w:r>
          </w:p>
        </w:tc>
        <w:tc>
          <w:tcPr>
            <w:tcW w:type="dxa" w:w="177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408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Calibri" w:hAnsi="Calibri"/>
                <w:b w:val="1"/>
                <w:bCs w:val="1"/>
                <w:sz w:val="26"/>
                <w:szCs w:val="26"/>
                <w:shd w:val="nil" w:color="auto" w:fill="auto"/>
                <w:rtl w:val="0"/>
                <w:lang w:val="en-US"/>
                <w14:textOutline w14:w="12700" w14:cap="flat">
                  <w14:noFill/>
                  <w14:miter w14:lim="400000"/>
                </w14:textOutline>
              </w:rPr>
              <w:t>$123,591.87</w:t>
            </w:r>
          </w:p>
        </w:tc>
      </w:tr>
    </w:tbl>
    <w:p>
      <w:pPr>
        <w:pStyle w:val="Body A"/>
        <w:widowControl w:val="0"/>
        <w:ind w:left="108" w:hanging="108"/>
      </w:pPr>
    </w:p>
    <w:p>
      <w:pPr>
        <w:pStyle w:val="Body A"/>
      </w:pPr>
    </w:p>
    <w:p>
      <w:pPr>
        <w:pStyle w:val="Body A"/>
      </w:pPr>
      <w:r>
        <w:rPr>
          <w:rtl w:val="0"/>
          <w:lang w:val="en-US"/>
        </w:rPr>
        <w:t xml:space="preserve"> </w:t>
      </w:r>
    </w:p>
    <w:p>
      <w:pPr>
        <w:pStyle w:val="Body A"/>
        <w:numPr>
          <w:ilvl w:val="0"/>
          <w:numId w:val="4"/>
        </w:numPr>
        <w:rPr>
          <w:lang w:val="en-US"/>
        </w:rPr>
      </w:pPr>
      <w:r>
        <w:rPr>
          <w:rtl w:val="0"/>
          <w:lang w:val="en-US"/>
        </w:rPr>
        <w:t>Note: We  anticipate significant  changes in Community  accounts as auction transactions are finalized</w:t>
      </w:r>
    </w:p>
    <w:p>
      <w:pPr>
        <w:pStyle w:val="Body A"/>
      </w:pPr>
    </w:p>
    <w:p>
      <w:pPr>
        <w:pStyle w:val="Body A"/>
      </w:pPr>
      <w:r>
        <w:rPr>
          <w:rtl w:val="0"/>
          <w:lang w:val="en-US"/>
        </w:rPr>
        <w:t xml:space="preserve">Marian Kellner noted that  the Main Checking account  7 month CDs  are coming to  maturity. A </w:t>
      </w:r>
      <w:r>
        <w:rPr>
          <w:b w:val="1"/>
          <w:bCs w:val="1"/>
          <w:rtl w:val="0"/>
          <w:lang w:val="en-US"/>
        </w:rPr>
        <w:t xml:space="preserve">motion </w:t>
      </w:r>
      <w:r>
        <w:rPr>
          <w:rtl w:val="0"/>
          <w:lang w:val="en-US"/>
        </w:rPr>
        <w:t xml:space="preserve">was made , seconded  and approved to return the proceeds from those CDs, upon  their  maturity,  to the  Main Checking Account.  </w:t>
      </w:r>
    </w:p>
    <w:p>
      <w:pPr>
        <w:pStyle w:val="Body A"/>
      </w:pPr>
    </w:p>
    <w:p>
      <w:pPr>
        <w:pStyle w:val="Body A"/>
        <w:rPr>
          <w:b w:val="1"/>
          <w:bCs w:val="1"/>
        </w:rPr>
      </w:pPr>
      <w:r>
        <w:rPr>
          <w:b w:val="1"/>
          <w:bCs w:val="1"/>
          <w:rtl w:val="0"/>
          <w:lang w:val="en-US"/>
        </w:rPr>
        <w:t>Committee Reports:</w:t>
      </w:r>
    </w:p>
    <w:p>
      <w:pPr>
        <w:pStyle w:val="Body A"/>
      </w:pPr>
      <w:r>
        <w:rPr>
          <w:b w:val="1"/>
          <w:bCs w:val="1"/>
          <w:rtl w:val="0"/>
          <w:lang w:val="en-US"/>
        </w:rPr>
        <w:t>Ways and Means:</w:t>
      </w:r>
      <w:r>
        <w:rPr>
          <w:rtl w:val="0"/>
          <w:lang w:val="en-US"/>
        </w:rPr>
        <w:t xml:space="preserve"> Mem Morrissey</w:t>
      </w:r>
    </w:p>
    <w:p>
      <w:pPr>
        <w:pStyle w:val="Body A"/>
      </w:pPr>
      <w:r>
        <w:rPr>
          <w:rtl w:val="0"/>
          <w:lang w:val="en-US"/>
        </w:rPr>
        <w:t xml:space="preserve">Mem reported on preliminary proceeds from  a successful  GCH  Dinner  Auction. </w:t>
      </w:r>
    </w:p>
    <w:p>
      <w:pPr>
        <w:pStyle w:val="Body A"/>
      </w:pPr>
      <w:r>
        <w:rPr>
          <w:rtl w:val="0"/>
          <w:lang w:val="en-US"/>
        </w:rPr>
        <w:t xml:space="preserve"> (Proceeds expected to go up a little after all  numbers are tallied):</w:t>
      </w:r>
    </w:p>
    <w:p>
      <w:pPr>
        <w:pStyle w:val="Body A"/>
      </w:pPr>
    </w:p>
    <w:tbl>
      <w:tblPr>
        <w:tblW w:w="93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2129"/>
        <w:gridCol w:w="1611"/>
        <w:gridCol w:w="1871"/>
        <w:gridCol w:w="2135"/>
        <w:gridCol w:w="1606"/>
      </w:tblGrid>
      <w:tr>
        <w:tblPrEx>
          <w:shd w:val="clear" w:color="auto" w:fill="00a2ff"/>
        </w:tblPrEx>
        <w:trPr>
          <w:trHeight w:val="300" w:hRule="atLeast"/>
          <w:tblHeader/>
        </w:trPr>
        <w:tc>
          <w:tcPr>
            <w:tcW w:type="dxa" w:w="2129"/>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w:pPr>
            <w:r>
              <w:rPr>
                <w:shd w:val="nil" w:color="auto" w:fill="auto"/>
                <w:rtl w:val="0"/>
                <w:lang w:val="en-US"/>
              </w:rPr>
              <w:t>Income</w:t>
            </w:r>
          </w:p>
        </w:tc>
        <w:tc>
          <w:tcPr>
            <w:tcW w:type="dxa" w:w="1611"/>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tc>
        <w:tc>
          <w:tcPr>
            <w:tcW w:type="dxa" w:w="1870"/>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pPr>
              <w:pStyle w:val="Table Style 1"/>
            </w:pPr>
            <w:r>
              <w:rPr>
                <w:shd w:val="nil" w:color="auto" w:fill="auto"/>
                <w:rtl w:val="0"/>
                <w:lang w:val="en-US"/>
              </w:rPr>
              <w:t>Expenses</w:t>
            </w:r>
          </w:p>
        </w:tc>
        <w:tc>
          <w:tcPr>
            <w:tcW w:type="dxa" w:w="1605"/>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bdc0bf"/>
            <w:tcMar>
              <w:top w:type="dxa" w:w="80"/>
              <w:left w:type="dxa" w:w="80"/>
              <w:bottom w:type="dxa" w:w="80"/>
              <w:right w:type="dxa" w:w="80"/>
            </w:tcMar>
            <w:vAlign w:val="top"/>
          </w:tcPr>
          <w:p/>
        </w:tc>
      </w:tr>
      <w:tr>
        <w:tblPrEx>
          <w:shd w:val="clear" w:color="auto" w:fill="cadfff"/>
        </w:tblPrEx>
        <w:trPr>
          <w:trHeight w:val="310" w:hRule="atLeast"/>
        </w:trPr>
        <w:tc>
          <w:tcPr>
            <w:tcW w:type="dxa" w:w="2129"/>
            <w:tcBorders>
              <w:top w:val="single" w:color="000000" w:sz="6"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Donations</w:t>
            </w:r>
          </w:p>
        </w:tc>
        <w:tc>
          <w:tcPr>
            <w:tcW w:type="dxa" w:w="1611"/>
            <w:tcBorders>
              <w:top w:val="single" w:color="000000" w:sz="6" w:space="0" w:shadow="0" w:frame="0"/>
              <w:left w:val="single" w:color="000000" w:sz="6"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$405.00</w:t>
            </w:r>
          </w:p>
        </w:tc>
        <w:tc>
          <w:tcPr>
            <w:tcW w:type="dxa" w:w="1870"/>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rPr>
              <w:t>Hartford Golf Club</w:t>
            </w:r>
          </w:p>
        </w:tc>
        <w:tc>
          <w:tcPr>
            <w:tcW w:type="dxa" w:w="1605"/>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$8418.02</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Ticket Sales</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$6,855.00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nl-NL"/>
              </w:rPr>
              <w:t>Evan Chesnutt</w:t>
            </w: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$580.00</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Sponsors</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$4,315.00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Cricket Press</w:t>
            </w: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$259.00</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fr-FR"/>
              </w:rPr>
              <w:t>Silent Auction</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$5,080.00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Mem M (pens, tags)</w:t>
            </w: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41.83</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Sign ups</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$1,190.00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nl-NL"/>
              </w:rPr>
              <w:t>MA Haar (flowers)</w:t>
            </w: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$483.60</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fr-FR"/>
              </w:rPr>
              <w:t>Live Auction</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$3,700.00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Auctioneer</w:t>
            </w: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$500.00</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Raise the Paddle</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$4,100.00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rPr>
              <w:t>Megan M</w:t>
            </w: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$112.50</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Centerpieces</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$180.00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486"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rPr>
              <w:t>Total</w:t>
            </w: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$25,825.00</w:t>
            </w: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shd w:val="nil" w:color="auto" w:fill="auto"/>
              </w:rPr>
            </w:pPr>
            <w:r>
              <w:rPr>
                <w:shd w:val="nil" w:color="auto" w:fill="auto"/>
                <w:rtl w:val="0"/>
                <w:lang w:val="en-US"/>
              </w:rPr>
              <w:t>$10,349.95</w:t>
            </w:r>
          </w:p>
          <w:p>
            <w:pPr>
              <w:pStyle w:val="Table Style 2"/>
              <w:bidi w:val="0"/>
              <w:ind w:left="0" w:right="0" w:firstLine="0"/>
              <w:jc w:val="left"/>
              <w:rPr>
                <w:rtl w:val="0"/>
              </w:rPr>
            </w:pPr>
            <w:r>
              <w:rPr>
                <w:shd w:val="nil" w:color="auto" w:fill="auto"/>
                <w:rtl w:val="0"/>
                <w:lang w:val="en-US"/>
              </w:rPr>
              <w:t>( ?minus $4.20)</w:t>
            </w:r>
          </w:p>
        </w:tc>
      </w:tr>
      <w:tr>
        <w:tblPrEx>
          <w:shd w:val="clear" w:color="auto" w:fill="cadfff"/>
        </w:tblPrEx>
        <w:trPr>
          <w:trHeight w:val="300" w:hRule="atLeast"/>
        </w:trPr>
        <w:tc>
          <w:tcPr>
            <w:tcW w:type="dxa" w:w="2129"/>
            <w:tcBorders>
              <w:top w:val="single" w:color="000000" w:sz="2" w:space="0" w:shadow="0" w:frame="0"/>
              <w:left w:val="single" w:color="000000" w:sz="2" w:space="0" w:shadow="0" w:frame="0"/>
              <w:bottom w:val="single" w:color="000000" w:sz="2" w:space="0" w:shadow="0" w:frame="0"/>
              <w:right w:val="single" w:color="000000" w:sz="6" w:space="0" w:shadow="0" w:frame="0"/>
            </w:tcBorders>
            <w:shd w:val="clear" w:color="auto" w:fill="dcdcdc"/>
            <w:tcMar>
              <w:top w:type="dxa" w:w="80"/>
              <w:left w:type="dxa" w:w="80"/>
              <w:bottom w:type="dxa" w:w="80"/>
              <w:right w:type="dxa" w:w="80"/>
            </w:tcMar>
            <w:vAlign w:val="top"/>
          </w:tcPr>
          <w:p/>
        </w:tc>
        <w:tc>
          <w:tcPr>
            <w:tcW w:type="dxa" w:w="1611"/>
            <w:tcBorders>
              <w:top w:val="single" w:color="000000" w:sz="2" w:space="0" w:shadow="0" w:frame="0"/>
              <w:left w:val="single" w:color="000000" w:sz="6"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8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60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730" w:hRule="atLeast"/>
        </w:trPr>
        <w:tc>
          <w:tcPr>
            <w:tcW w:type="dxa" w:w="2129"/>
            <w:tcBorders>
              <w:top w:val="single" w:color="000000" w:sz="2" w:space="0" w:shadow="0" w:frame="0"/>
              <w:left w:val="single" w:color="000000" w:sz="2" w:space="0" w:shadow="0" w:frame="0"/>
              <w:bottom w:val="single" w:color="000000" w:sz="6" w:space="0" w:shadow="0" w:frame="0"/>
              <w:right w:val="single" w:color="000000" w:sz="6" w:space="0" w:shadow="0" w:frame="0"/>
            </w:tcBorders>
            <w:shd w:val="clear" w:color="auto" w:fill="dcdcdc"/>
            <w:tcMar>
              <w:top w:type="dxa" w:w="80"/>
              <w:left w:type="dxa" w:w="80"/>
              <w:bottom w:type="dxa" w:w="80"/>
              <w:right w:type="dxa" w:w="80"/>
            </w:tcMar>
            <w:vAlign w:val="top"/>
          </w:tcPr>
          <w:p>
            <w:pPr>
              <w:pStyle w:val="Table Style 1"/>
            </w:pPr>
            <w:r>
              <w:rPr>
                <w:shd w:val="nil" w:color="auto" w:fill="auto"/>
                <w:rtl w:val="0"/>
                <w:lang w:val="en-US"/>
              </w:rPr>
              <w:t>Net Proceeds after Expenses (approximate)</w:t>
            </w:r>
          </w:p>
        </w:tc>
        <w:tc>
          <w:tcPr>
            <w:tcW w:type="dxa" w:w="1611"/>
            <w:tcBorders>
              <w:top w:val="single" w:color="000000" w:sz="2" w:space="0" w:shadow="0" w:frame="0"/>
              <w:left w:val="single" w:color="000000" w:sz="6" w:space="0" w:shadow="0" w:frame="0"/>
              <w:bottom w:val="single" w:color="000000" w:sz="6"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$15,479.25</w:t>
            </w:r>
          </w:p>
        </w:tc>
        <w:tc>
          <w:tcPr>
            <w:tcW w:type="dxa" w:w="1870"/>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5"/>
            <w:tcBorders>
              <w:top w:val="single" w:color="000000" w:sz="2" w:space="0" w:shadow="0" w:frame="0"/>
              <w:left w:val="single" w:color="000000" w:sz="2" w:space="0" w:shadow="0" w:frame="0"/>
              <w:bottom w:val="single" w:color="000000" w:sz="6"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310" w:hRule="atLeast"/>
        </w:trPr>
        <w:tc>
          <w:tcPr>
            <w:tcW w:type="dxa" w:w="2129"/>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11"/>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870"/>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135"/>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605"/>
            <w:tcBorders>
              <w:top w:val="single" w:color="00000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bl>
    <w:p>
      <w:pPr>
        <w:pStyle w:val="Body A"/>
        <w:widowControl w:val="0"/>
        <w:ind w:left="108" w:hanging="108"/>
      </w:pPr>
    </w:p>
    <w:p>
      <w:pPr>
        <w:pStyle w:val="Body A"/>
      </w:pPr>
    </w:p>
    <w:p>
      <w:pPr>
        <w:pStyle w:val="Body A"/>
      </w:pPr>
      <w:r>
        <w:rPr>
          <w:rtl w:val="0"/>
          <w:lang w:val="en-US"/>
        </w:rPr>
        <w:t xml:space="preserve"> </w:t>
      </w:r>
    </w:p>
    <w:p>
      <w:pPr>
        <w:pStyle w:val="Body A"/>
      </w:pPr>
      <w:r>
        <w:rPr>
          <w:b w:val="1"/>
          <w:bCs w:val="1"/>
          <w:rtl w:val="0"/>
          <w:lang w:val="en-US"/>
        </w:rPr>
        <w:t xml:space="preserve">Photography - </w:t>
      </w:r>
      <w:r>
        <w:rPr>
          <w:rtl w:val="0"/>
          <w:lang w:val="en-US"/>
        </w:rPr>
        <w:t>Claire reporting for  Mara Sfara</w:t>
      </w:r>
    </w:p>
    <w:p>
      <w:pPr>
        <w:pStyle w:val="Body A"/>
      </w:pPr>
      <w:r>
        <w:rPr>
          <w:rtl w:val="0"/>
          <w:lang w:val="en-US"/>
        </w:rPr>
        <w:t>The  committee met on  October 10, featuring  a photoshop  workshop, learning  to use  crystal  ball photography techniques and other  methods.</w:t>
      </w:r>
    </w:p>
    <w:p>
      <w:pPr>
        <w:pStyle w:val="Body A"/>
      </w:pPr>
      <w:r>
        <w:rPr>
          <w:rtl w:val="0"/>
          <w:lang w:val="en-US"/>
        </w:rPr>
        <w:t>There will  be another  meeting  in  December for a lesson about  photography  compositions, and to  discuss  future plans.</w:t>
      </w:r>
    </w:p>
    <w:p>
      <w:pPr>
        <w:pStyle w:val="Body A"/>
      </w:pPr>
    </w:p>
    <w:p>
      <w:pPr>
        <w:pStyle w:val="Body A"/>
      </w:pPr>
    </w:p>
    <w:p>
      <w:pPr>
        <w:pStyle w:val="Body A"/>
        <w:rPr>
          <w:b w:val="1"/>
          <w:bCs w:val="1"/>
        </w:rPr>
      </w:pPr>
      <w:r>
        <w:rPr>
          <w:b w:val="1"/>
          <w:bCs w:val="1"/>
          <w:rtl w:val="0"/>
          <w:lang w:val="en-US"/>
        </w:rPr>
        <w:t xml:space="preserve">Membership - </w:t>
      </w:r>
      <w:r>
        <w:rPr>
          <w:rtl w:val="0"/>
          <w:lang w:val="en-US"/>
        </w:rPr>
        <w:t>Claire  reporting  for  Pat  Salner</w:t>
      </w:r>
    </w:p>
    <w:p>
      <w:pPr>
        <w:pStyle w:val="Body A"/>
      </w:pPr>
      <w:r>
        <w:rPr>
          <w:rtl w:val="0"/>
          <w:lang w:val="en-US"/>
        </w:rPr>
        <w:t>Pat</w:t>
      </w:r>
      <w:r>
        <w:rPr>
          <w:b w:val="1"/>
          <w:bCs w:val="1"/>
          <w:rtl w:val="0"/>
          <w:lang w:val="en-US"/>
        </w:rPr>
        <w:t xml:space="preserve"> </w:t>
      </w:r>
      <w:r>
        <w:rPr>
          <w:rtl w:val="0"/>
          <w:lang w:val="en-US"/>
        </w:rPr>
        <w:t>is requesting discussion of the number of  new members we would like to  accept this year. We  currently  have 56 active, 17 associate, and 23 affiliate members, for a total of  96. Two members have requested changes in status: Marnie  Greenwood from active to  associate, and Jan Whelan from active to affiliate. We have the capacity to accept 11 new members this year,  we should take at least 5.</w:t>
      </w:r>
    </w:p>
    <w:p>
      <w:pPr>
        <w:pStyle w:val="Body A"/>
      </w:pPr>
      <w:r>
        <w:rPr>
          <w:rtl w:val="0"/>
          <w:lang w:val="en-US"/>
        </w:rPr>
        <w:t>After some discussion, a</w:t>
      </w:r>
      <w:r>
        <w:rPr>
          <w:b w:val="1"/>
          <w:bCs w:val="1"/>
          <w:rtl w:val="0"/>
          <w:lang w:val="en-US"/>
        </w:rPr>
        <w:t xml:space="preserve"> motion</w:t>
      </w:r>
      <w:r>
        <w:rPr>
          <w:rtl w:val="0"/>
          <w:lang w:val="en-US"/>
        </w:rPr>
        <w:t xml:space="preserve">  was made by Donna Stout that we should not plan on taking any more than 5 new members this year. This motion was seconded and approved.</w:t>
      </w:r>
    </w:p>
    <w:p>
      <w:pPr>
        <w:pStyle w:val="Body A"/>
        <w:rPr>
          <w:b w:val="1"/>
          <w:bCs w:val="1"/>
        </w:rPr>
      </w:pPr>
      <w:r>
        <w:rPr>
          <w:rtl w:val="0"/>
          <w:lang w:val="en-US"/>
        </w:rPr>
        <w:t>Claire stressed the importance of mentorship of  new members. If  you  have  sponsored  a new member, stay in  touch, encourage involvement and attendance at  events/meetings,  and be available to answer any  questions.</w:t>
      </w:r>
    </w:p>
    <w:p>
      <w:pPr>
        <w:pStyle w:val="Body A"/>
      </w:pPr>
    </w:p>
    <w:p>
      <w:pPr>
        <w:pStyle w:val="Body A"/>
      </w:pPr>
      <w:r>
        <w:rPr>
          <w:b w:val="1"/>
          <w:bCs w:val="1"/>
          <w:rtl w:val="0"/>
          <w:lang w:val="en-US"/>
        </w:rPr>
        <w:t>Other Business</w:t>
      </w:r>
      <w:r>
        <w:rPr>
          <w:rtl w:val="0"/>
          <w:lang w:val="en-US"/>
        </w:rPr>
        <w:t>:</w:t>
      </w:r>
    </w:p>
    <w:p>
      <w:pPr>
        <w:pStyle w:val="Body A"/>
      </w:pPr>
      <w:r>
        <w:rPr>
          <w:rtl w:val="0"/>
          <w:lang w:val="en-US"/>
        </w:rPr>
        <w:t>Claire  encourages board  member attendance at  Board  Meetings, either  in  person  or  via  Zoom. Discussion is  important and your  input is needed.</w:t>
      </w:r>
    </w:p>
    <w:p>
      <w:pPr>
        <w:pStyle w:val="Body A"/>
      </w:pPr>
    </w:p>
    <w:p>
      <w:pPr>
        <w:pStyle w:val="Body A"/>
      </w:pPr>
      <w:r>
        <w:rPr>
          <w:rtl w:val="0"/>
          <w:lang w:val="en-US"/>
        </w:rPr>
        <w:t>The meeting  was adjourned  at 11:00 AM</w:t>
      </w:r>
    </w:p>
    <w:p>
      <w:pPr>
        <w:pStyle w:val="Body A"/>
      </w:pPr>
    </w:p>
    <w:p>
      <w:pPr>
        <w:pStyle w:val="Body A"/>
      </w:pPr>
      <w:r>
        <w:rPr>
          <w:rtl w:val="0"/>
          <w:lang w:val="en-US"/>
        </w:rPr>
        <w:t>Respectfully  submitted,</w:t>
      </w:r>
    </w:p>
    <w:p>
      <w:pPr>
        <w:pStyle w:val="Body A"/>
      </w:pPr>
      <w:r>
        <w:rPr>
          <w:rtl w:val="0"/>
          <w:lang w:val="en-US"/>
        </w:rPr>
        <w:t>Margaret Szerejko</w:t>
      </w:r>
    </w:p>
    <w:p>
      <w:pPr>
        <w:pStyle w:val="Body A"/>
      </w:pPr>
      <w:r>
        <w:rPr>
          <w:rtl w:val="0"/>
          <w:lang w:val="en-US"/>
        </w:rPr>
        <w:t>Recording Secretary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516" w:hanging="40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3" w:hanging="34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65" w:hanging="42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3" w:hanging="34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05" w:hanging="42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25" w:hanging="42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3" w:hanging="3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21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9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7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5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3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1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9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7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53" w:hanging="21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Subtitle">
    <w:name w:val="Subtitle"/>
    <w:next w:val="Body A"/>
    <w:pPr>
      <w:keepNext w:val="1"/>
      <w:keepLines w:val="0"/>
      <w:pageBreakBefore w:val="0"/>
      <w:widowControl w:val="1"/>
      <w:shd w:val="clear" w:color="auto" w:fill="auto"/>
      <w:suppressAutoHyphens w:val="0"/>
      <w:bidi w:val="0"/>
      <w:spacing w:before="0" w:after="0" w:line="240" w:lineRule="auto"/>
      <w:ind w:left="0" w:right="0" w:firstLine="0"/>
      <w:jc w:val="center"/>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Bullet">
    <w:name w:val="Bullet"/>
    <w:pPr>
      <w:numPr>
        <w:numId w:val="3"/>
      </w:numPr>
    </w:pPr>
  </w:style>
  <w:style w:type="paragraph" w:styleId="Table Style 1">
    <w:name w:val="Table Style 1"/>
    <w:next w:val="Table Style 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